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297</w:t>
      </w:r>
    </w:p>
    <w:p>
      <w:r>
        <w:t>Bundesgericht (BGE), 1970-09-16, DE</w:t>
      </w:r>
    </w:p>
    <w:p>
      <w:r>
        <w:rPr>
          <w:b/>
        </w:rPr>
        <w:t xml:space="preserve">Quelle: </w:t>
      </w:r>
      <w:r>
        <w:t>https://mcp.opencaselaw.ch/entscheid/bge_96 I 297</w:t>
      </w:r>
    </w:p>
    <w:p>
      <w:r>
        <w:t>FR: ATF 96 I 297</w:t>
      </w:r>
    </w:p>
    <w:p>
      <w:r>
        <w:t>IT: DTF 96 I 297</w:t>
      </w:r>
    </w:p>
    <w:p>
      <w:pPr>
        <w:pStyle w:val="Heading2"/>
      </w:pPr>
      <w:r>
        <w:t>Regeste</w:t>
      </w:r>
    </w:p>
    <w:p>
      <w:r>
        <w:t>Regeste Kartellgesetz, Preisbindung der zweiten Hand, vorsorgliche Massnahme, Willkür. Zulässigkeit der staatsrechtlichen Beschwerde wegen Verletzung des Art. 4 BV gegen den Entscheid, mit dem der Richter vorsorgliche Massnahmen gemäss Art. 10 KG anordnet (Erw. 1). Kognition des Bundesgerichts (Erw. 2). Beweislastverteilung im kantonalen Verfahren (Erw. 3). Verfügung, welche die Bierbrauereien für die Dauer des ordentlichen Prozesses zur Belieferung eines Discountgeschäfts, dieses aber zur Einhaltung eines bestimmten (unter dem bisher vom Bierkartell festgesetzten Ansatzliegenden) Detailverkaufspreises von Flaschenbier verpflichtet. Voraussetzungen solcher Preisbindung der zweiten Hand nach Art. 5 lit. e KG. Überprüfung unter dem beschränkten Gesichtswinkel des Art. 4 BV.</w:t>
      </w:r>
    </w:p>
    <w:p>
      <w:pPr>
        <w:pStyle w:val="Heading2"/>
      </w:pPr>
      <w:r>
        <w:t>Erwägungen</w:t>
      </w:r>
    </w:p>
    <w:p>
      <w:r>
        <w:rPr>
          <w:b/>
        </w:rPr>
        <w:t>E. 1</w:t>
      </w:r>
    </w:p>
    <w:p>
      <w:r>
        <w:t>Nach Art. 10 KG verfügt der Richter auf Antrag einer Partei zum Schutze von Ansprüchen aus unzulässiger Wettbewerbsbehinderung vorsorgliche Massnahmen, wobei Art. 9-12 des Bundesgesetzes vom 30. September 1943 über den unlautern Wettbewerb (UWG) sinngemäss anwendbar sind. Es handelt sich bei diesem Verfahren um ein zivilprozessuales Mittel des Bundesrechts zur provisorischen Sicherung privater Ansprüche (SCHÜRMANN, Bundesgesetz über Kartelle und ähnliche Organisationen S. 111). Obwohl die Kantone die Verfahrensart und die zuständigen Gerichte zu bezeichnen haben, ist das Verfahren um Anordnung vorsorglicher Massnahmen vor Anhebung des Hauptprozesses ein selbständiges bundesrechtliches Verfahren. Der Entscheid, der es abschliesst, ist daher ein Endentscheid und nicht ein blosser Zwischenentscheid, gegen den die staatsrechtliche Beschwerde wegen Verletzung von Art. 4 BV nur bei Vorliegen eines nicht wiedergutzumachenden Nachteils zulässig wäre. Daran ändert nichts, dass die vorsorgliche Massnahme dahinfällt, wenn der Richter sie im Hauptprozess abändert oder aufhebt, falls die Verhältnisse sich geändert haben (VON BÜREN, Kommentar zum UWG S. 208 N. 19) und dass zwischen dem Verfahren um Erlass vorsorglicher Verfügungen und dem Hauptprozess ein Zusammenhang besteht. Beide bilden ihrem Gegenstand nach noch nicht eine Einheit, so dass nicht vom gleichen Verfahren gesprochen werden kann, was dem abschliessenden Entscheid im Verfahren über vorsorgliche Massnahmen den Charakter des Endentscheides nehmen würde ( BGE 94 I 369 ). Sofern der Richter im Hauptprozess keine Änderung verfügt, bleibt es bei der vorsorglichen Massnahme, und wird die Klage abgewiesen, so hat sie in der Zwischenzeit dennoch ihre Wirksamkeit entfaltet. Das rechtfertigt die selbständige Anfechtbarkeit der Verfügungen nach Art. 10 KG durch staatsrechtliche Beschwerde.</w:t>
      </w:r>
    </w:p>
    <w:p>
      <w:r>
        <w:rPr>
          <w:b/>
        </w:rPr>
        <w:t>E. 2</w:t>
      </w:r>
    </w:p>
    <w:p>
      <w:r>
        <w:t>Die Verletzung von Art. 31 BV erblickt die Beschwerdeführerin einzig in der willkürlichen Auslegung und Anwendung des KG durch das Obergericht; diese führe zu einer unzulässigen Einschränkung der Handels- und Gewerbefreiheit. Der Vorwurf, der angefochtene Entscheid missachte Art. 31 BV , fällt deshalb mit demjenigen der Willkür zusammen. Dass die Bestimmungen des KG, mit denen das Obergericht seinen Entscheid BGE 96 I 297 S. 301 begründete, selber gegen die Handels- und Gewerbefreiheit verstossen würden, behauptet die Beschwerdeführerin nicht. Ein solcher Vorwurf wäre übrigens unbehelflich, da das Bundesgericht gemäss Art. 113 BV die Verfassungsmässigkeit der Bundesgesetze nicht überprüfen darf. Willkür liegt nach der Rechtsprechung ( BGE 93 I 6 /7 und dort angeführte frühere Urteile) nur vor, wenn ein Entscheid nicht bloss unrichtig, sondern schlechthin unhaltbar ist. Nur unter diesem beschränkten Gesichtswinkel können vorsorgliche Massnahmen, deren Erlass im übrigen in die ausschliessliche Zuständigkeit der von den Kantonen bezeichneten Behörden fällt, vom Bundesgericht überprüft werden. Dabei ergibt sich eine zusätzliche Beschränkung noch daraus, dass im Verfahren betreffend Anordnung vorsorglicher Massnahmen der streitige Anspruch und seine Gefährdung nur glaubhaft zu machen sind, der Richter sich also mit dem Eindruck einer gewissen Wahrscheinlichkeit für das Vorhandensein der in Frage kommenden Tatsachen sowie mit einer bloss summarischen Prüfung der Rechtsfragen begnügen darf (vgl. BGE 88 I 14 /15).</w:t>
      </w:r>
    </w:p>
    <w:p>
      <w:r>
        <w:rPr>
          <w:b/>
        </w:rPr>
        <w:t>E. 3</w:t>
      </w:r>
    </w:p>
    <w:p>
      <w:r>
        <w:t>Im Verfahren nach Art. 10 KG hat der Gesuchsteller glaubhaft zu machen, dass er durch die ihm gegenüber angewandten Massnahmen eines Kartells oder einer ähnlichen Organisation in unzulässiger Weise im Wettbewerb beschränkt wird und dass ihm infolgedessen ein nicht leicht ersetzbarer Nachteil droht, der nur durch eine vorsorgliche Massnahme abgewendet werden kann. Dagegen liegt ihm nicht ob, glaubhaft zu machen, dass keiner der in Art. 5 KG genannten Rechtfertigungsgründe für die wettbewerbsbehindernden Massnahmen gegeben ist (MERZ, Das schweizerische Kartellgesetz S. 74). Dass ein Rechtfertigungsgrund im Sinne von Art. 5 KG vorliegt, hat im Hauptprozess die Gegenpartei darzutun ( BGE 94 II 339 E. 5 a). Im Verfahren über die Anordnung vorläufiger Massnahmen kann es nicht anders sein. Die Gegenpartei hat deshalb das Vorhandensein der Tatsachen glaubhaft zu machen, die eine Wettbewerbsbeschränkung rechtfertigen. Da die Tatsachen nur glaubhaft zu machen, nicht zu beweisen sind, ist über ihren Bestand kein erschöpfendes Beweisverfahren durchzuführen. Ihre abschliessende Beurteilung ist erst im Hauptprozess möglich. Das ist von Bedeutung vor allem hinsichtlich der Tatsachen, die sich erst in der Zukunft möglicherweise oder wahrscheinlich oder mit Sicherheit als Folge der Ergreifung oder Unterlassung wettbewerbsbeschränkender BGE 96 I 297 S. 302 Massnahmen einstellen werden. Für die Würdigung der bezüglichen Verhältnisse verbleibt dem Massnahmenrichter daher ein weiter Spielraum.</w:t>
      </w:r>
    </w:p>
    <w:p>
      <w:r>
        <w:rPr>
          <w:b/>
        </w:rPr>
        <w:t>E. 4</w:t>
      </w:r>
    </w:p>
    <w:p>
      <w:r>
        <w:t>a) Es ist unbestritten, dass die von den Brauereien der Beschwerdeführerin gegenüber verhängte Liefersperre eine Wettbewerbsbehinderung im Sinne von Art. 4 KG darstellt. Auch die Erheblichkeit der Behinderung ist zu bejahen, weil Liefersperren in der Regel eine erhebliche Wettbewerbsbehinderung darstellen, denn sie sind immer geeignet, das wirschaftliche Verhalten des Betroffenen zu beeinflussen ( BGE 94 II 337 E. 3; SCHLUEP, Von der Kontrahierungspflicht der kartellähnlichen Organisation, Wirtschaft und Recht 1969, S. 207). Die Beschwerdegegner bestreiten auch nicht, dass der Beschwerdeführerin ein nicht leicht ersetzbarer Nachteil droht, der nur durch eine vorsorgliche Massnahme abgewendet werden kann. Nicht von Bedeutung ist, dass die Beschwerdeführerin bereits bestelltes Bier, über dessen Lieferung eventuell ein gültiger Vertragsschluss zustandegekommen ist, auf Grund des vertraglichen Anspruchs noch anfordern könnte. Es ist unstreitig, dass die Liefersperre sich auch auf künftige Bestellungen bezieht. In diesem Sinne ist die Verfügung des Einzelrichters, wonach die Brauereien bestelltes Bier zu liefern hätten, zu verstehen. Streitig ist einzig noch, ob die Wettbewerbsbehinderung deswegen rechtmässig ist, weil sie mit einem der in Art. 5 KG genannten Rechtfertigungstatbestände begründet werden kann. Wettbewerbsbehinderungen sind danach zulässig, wenn die Vorkehren durch überwiegende schutzwürdige Interessen gerechtfertigt sind und sie die Freiheit des Wettbewerbs im Verhältnis zum angestrebten Ziel sowie nach Art und Durchführung nicht übermässig beeinträchtigen. Abs. 2 zählt, ohne vollständig sein zu wollen, einzelne Fälle von überwiegenden schutzwürdigen Interessen auf. Von ihnen hat das Obergericht nur den Rechtfertigungsgrund nach lit. e gelten lassen. Mit Recht geht es davon aus, dass das KG Wettbewerbsbeschränkungen zur Durchsetzung von Preisbindungen der zweiten Hand grundsätzlich zulässt. Das bringt der in den parlamentarischen Verhandlungen umstrittene Art. 5 Abs. 2 lit. e KG unmissverständlich zum Ausdruck. Immerhin kann nicht jede Preisbindung der zweiten Hand mittels Wettbewerbsbeschränkungen gegenüber Aussenseitern durchgesetzt werden. Sie hat im Gegenteil gewissen Erfordernissen zu entsprechen. BGE 96 I 297 S. 303 Abgesehen von der in Abs. 1 enthaltenen allgemeinen Einschränkung, muss sie in erster Linie angemessen sein. Darunter ist zu verstehen, dass die Gewinnmarge des Detaillisten, der durch die Preisbindung geschützt werden soll, nicht übersetzt (MERZ, a.a.O. S. 67, MATILE, Problèmes du droit suisse des cartels, ZSR 1970 II S. 234 ff.) oder (SCHÜRMANN, a.a.O. S. 96) wenigstens nicht extrem, offensichtlich unangemessen und unbillig ist. Sodann hat die Preisbindung durch weitere Gründe, wie z.B. die Sorge für den Kundendienst oder die Wahrung der Qualität ihre Rechtfertigung zu finden (so zutreffend MERZ, a.a.O. S. 67 gegen SCHÜRMANN, a.a.O. S. 97). Als Rechtfertigungsgründe für eine zu Kampfmassnahmen berechtigende Preisbindung der zweiten Hand kommen ausserdem die in Art. 5 Abs. 2 lit. a-d genannten Interessen in Betracht; das ist der Sinn des zweiten Halbsatzes von Art. 52 lit. e KG (SCHÜRMANN, a.a.O., MATTMANN, Die Preisbindung der zweiten Hand nach dem Schweizerischen Kartellgesetz, Diss. 1970, S. 60 ff.). Schliesslich darf die Massnahme zur Durchsetzung der Preisbindung den Betroffenen im Verhältnis zum angestrebten Ziel sowie nach Art und Durchführung nicht übermässig beeinträchtigen ( Art. 5 Abs. 1 KG , BGE 91 II 37 E. 4 c). Die Beschwerdeführerin macht in letzterer Hinsicht nicht geltend, dass eine Liefersperre ihr gegenüber unverhältnismässig sei. Eine solche Einwendung wäre auch nicht begründet (dazu zuletzt MATILE, a.a.O. S. 250 ff.). b) Das Obergericht ist der Auffassung, dass allein die Tatsache, dass es sich beim Bier regelmässig um einen Markenartikel handelt, eine Preisbindung der zweiten Hand, die durch Wettbewerbsbeschränkungen gesichert werden könne, rechtfertige, da der gleichbleibende Preis in den Augen vieler Käufer auch eine gleichbleibende Qualität garantiere. Die Beschwerdeführerin hält diese Auffassung für willkürlich. Ob heute, nachdem die Preisbindung zweiter Hand für zahlreiche Markenartikel hinfällig geworden ist und vor allem in Discountgeschäften Markenartikel zu teilweise erheblich tiefern Preisen verkauft werden als in herkömmlichen Geschäften, die Meinung des Obergerichts noch zutrifft, kann indessen offen bleiben. Die Rechtfertigung der Preisbindung hat es nämlich in erster Linie bejaht, weil sie zur Gewährleistung des Kundendienstes beitrage. Was unter Kundendienst zu verstehen sei, ergibt sich aus dem KG nicht ausdrücklich und in den Kreisen der Wirtschaft BGE 96 I 297 S. 304 scheinen darüber keine einhelligen Meinungen zu herrschen (MATTMANN, a.a.O. S. 64). Es wird in erster Linie darunter zu verstehen sein, dass der Verkäufer einer Ware mit oder nach dem Verkauf gewisse zusätzliche Leistungen, die sich auf die Ware selbst beziehen, erbringt, wie Beratung, Verpackung, Instruktion, Hauslieferung, nachträgliche Wartung usw. Das Obergericht hat unter Kundendienst auch die Möglichkeit verstanden, dass den Kunden die Gelegenheit zu bequemem Einkauf durch dezentralisierte Einkaufsmöglichkeiten geboten wird. Diese Auffassung ist jedenfalls nicht völlig unhaltbar. Die Möglichkeit, Genussmittel bequem in der Nähe seiner Wohnstätte einkaufen zu können, fällt für den Kaufsentschluss des Kunden offensichtlich ins Gewicht. Das trifft vor allem dann zu, wenn er nur geringe Mengen, z.B. eine oder einige wenige Flaschen, kaufen möchte. Er wird dann vermutlich den Weg zu einem möglicherweise in beträchtlicher Entfernung liegenden Discountgeschäft scheuen und auf den Kauf der Ware unter Umständen verzichten. Das Interesse der Kunden an der Gewährleistung eines Kundendienstes in diesem Sinne durch Aufrechterhaltung eines weitgestreuten Netzes von Detailverkaufsstellen kann deshalb nicht von vornherein als unmassgeblich abgetan werden. So hat z.B. die Kartellkommission angenommen, die Aufrechterhaltung einer genügenden örtlichen Streuung der Apotheken liege im Interesse des Patienten und bilde einen Faktor für die Anerkennung der Preisbindung zweiter Hand (Veröffentlichungen der Schweizerischen Kartellkommission 1966, S. 286). Als vertretbar erscheint aber auch die Annahme, falls die Beschwerdeführerin durch massive Unterbietung die herkömmlichen Detailverkaufsstellen erheblich konkurrenziert und ihnen einen Teil des Umsatzes wegnimmt, so werde dieses Verteilernetz in seinem gegenwärtigen Bestand gefährdet, weil bei der gedrückten Marge für den einen oder andern Depositär der Bierverkauf nicht mehr lohnend ist. Wie eine Aufgabe der Preisbindung der zweiten Hand in dieser Hinsicht sich auswirken wird, ist nicht leicht voraussehbar und kann mit Gewissheit nur auf Grund von eingehenden Untersuchungen ermittelt werden, wofür in einem Verfahren nach Art. 10 KG kein Raum ist. Jedenfalls ist es nicht völlig unhaltbar, wenn das Obergericht die von ihm geschilderten Folgen erwartet. Damit fällt auch der Einwand der Beschwerdeführerin dahin, BGE 96 I 297 S. 305 die Beschwerdegegner würden überhaupt kein eigenes Interesse an der Preisbindung verfechten, sondern bloss dasjenige der Detaillisten, da durch die Belieferung der Beschwerdeführerin der Bierumsatz im Ganzen eher gesteigert werde. Ob das zutrifft, kann zuverlässig wiederum nur durch eingehende Untersuchungen ermittelt werden. Solange das nicht geschehen ist, kann jedenfalls ohne Willkür angenommen werden, dass die Brauereien an der Aufrechterhaltung des weitgespannten Verteilernetzes direkt interessiert sind, weil bequeme Einkaufsmöglichkeiten für die Kunden auf die Dauer vermutlich den Umsatz steigern helfen. c) Ebenso ist es nicht völlig unhaltbar, anzunehmen, die Qualität des Bieres könne unter Umständen nicht mehr gehalten werden, wenn die Preise auf dem Biermarkt zufolge des Verhaltens der Beschwerdeführerin zusammenbrechen sollten. Es ist nicht ausgeschlossen, dass die übrigen Detaillisten, wenn sie, um konkurrenzfähig zu bleiben, den Verkaufspreis ebenfalls senken müssen, eine angemessene Gewinnmarge dadurch zu erreichen suchen, dass sie auf die Engrospreise drücken. Zwar mag es fraglich erscheinen, ob einem solchen Unterfangen der angestrebte Erfolg beschieden wäre, weil eine Senkung des Engrospreises zu einer weitern Herabsetzung der Verkaufspreise bei der Beschwerdeführerin führen könnte, so dass sich schliesslich die frühere Situation wiederherstellte. Allein es ist nicht abwegig, anzunehmen, dass dieser Ausweg dennoch beschritten würde. Damit, dass durch Aufgabe der Preisbindung zweiter Hand schliesslich ein Druck auf die Herstellerpreise erfolgen und dieser zu einer Leistungsverschlechterung führen könnte, rechnet auch die Kartellkomission (Veröffentlichungen 1966, S. 281). Es darf deshalb ohne Willkür davon ausgegangen werden, dass die Brauereien versuchen würden, einen Druck auf die Engrospreise mit einer Verschlechterung der Bierqualität wettzumachen. Die Beschwerdeführerin wendet ein, dass einem solchen Vorgehen die Lebensmittelgesetzgebung entgegenstehe. Allein die Lebensmittelgesetzgebung (Art. 377 ff. der Lebensmittelverordnung, BS 4, 575) enthält nur Minimalvorschriften inbezug auf die Qualität und die Beschwerdeführerin behauptet nicht, dass die Brauereien jetzt schon nur Bier herstellen, das lediglich den Minimalanforderungen genüge, so dass eine Qualitätsverschlechterung auch bei Preisdruck gar nicht möglich sei. BGE 96 I 297 S. 306 d) Erweisen sich die Erwägungen über die besondern Gründe, die zur Rechtfertigung der Preisbindung der zweiten Hand führen, als vertretbar, verbleibt die Prüfung der Frage ihrer Angemessenheit. Das Obergericht hält die Preisbindung wahrscheinlich für angemessen, soweit der Detailverkaufspreis der Mehrwegflasche 60 Rappen nicht übersteigt. Es ergibt sich dabei für den Wiederverkäufer bei einem Engrospreis von 50 Rappen und unter Berücksichtigung des Skontos von zwei Prozent eine Gewinnmarge von 11 Rappen pro Flasche. Die Beschwerdeführerin wendet dagegen ein, dass sie zufolge ihrer günstigeren Kostenstruktur mit einer erheblich geringeren Marge auskommen könne. Die Annahme des Obergerichts, bei der Beurteilung der Angemessenheit einer Marge könne nicht auf die am günstigsten arbeitende Unternehmung abgestellt werden, sondern es sei kalkulatorisch auch auf schwächere Betriebe Rücksicht zu nehmen, ist jedoch nicht völlig unhaltbar. Die Preisbindung zweiter Hand, deren Zulässigkeit, wie dargelegt, grundsätzlich vom Gesetzgeber anerkannt ist, verfolgt gerade den Zweck, auch weniger günstig arbeitenden Betrieben eine Gewinmöglichkeit offen zu halten. Die Preisbindung der zweiten Hand wäre weitgehend überflüssig, wenn nur die Margen der unter optimalen Bedingungen wirtschaftenden Unternehmen als angemessen anerkannt würden. Ob es dabei zulässig wäre, auf die Verhältnisse von ganz unrationell arbeitenden Unternehmungen abzustellen, mag dahingestellt bleiben, da die Beschwerdeführerin nicht behauptet, ein Engrospreis von 60 Rappen gehe hievon aus (vgl. zur Problematik MATILE, a.a.O. S. 238). Sodann ist die Auffassung nicht willkürlich, die Margenverhältnisse im Biergeschäft könnten wahrscheinlich als angemessen gelten, weil die Kartellkommission bezüglich dieser Verhältnisse noch keine Sonderuntersuchung im Sinne von Art. 20 KG durchgeführt habe. Zwar decken sich die Begriffe der Angemessenheit der Preisbindung der zweiten Hand nach Art. 5 KG und der Begriff der volkswirtschaftlich oder sozial schädlichen Auswirkung von Kartellen im Sinne von Art. 20 Abs. 1 KG , die allein Anlass zu einer Sonderuntersuchung geben können, nicht. Eine Preisbindung kann unangemessen sein, ohne volkswirtschaftlich oder sozial schädliche Auswirkungen zu haben, z.B. weil dem kartellierten Gewerbszweig keine erhebliche wirtschaftliche oder soziale Bedeutung zukommt BGE 96 I 297 S. 307 (SCHÜRMANN, Die Durchführung des Kartellgesetzes, Wirtschaft und Recht 1969, S. 75; Veröffentlichungen der Schweizerischen Kartellkommission 1970, S. 4 unten). Beim Biermarkt ist angesichts seiner Bedeutung eine unangemessene Preisbindung volkswirtschaftlich wohl eher als schädlich zu betrachten. Nachdem eine Sonderuntersuchung durch die zuständige Stelle nicht angeordnet wurde, obwohl die Margenverhältnisse durch den Bericht der Kartellkommission über die Wettbewerbsverhältnisse auf dem Bier- sowie dem Mineral- und Süssgetränkemarkt vom 11. März 1966 bekannt waren, darf ohne Willkür der Schluss gezogen werden, dass die zuständigen Behörden sie jedenfalls nicht als offensichtlich unangemessen betrachteten. Es ist auch nicht abwegig, wenn das Obergericht zur Stützung seiner Auffassung berücksichtigte, dass die Beschwerdeführerin das unter einer Eigenmarke verkaufte Flaschenbier ebenfalls zu 60 Rappen abgab. Zu Unrecht wendet diese ein, der Preis von 60 Rappen habe nur für die herkömmlichen Dennerläden gegolten, nicht aber für ihre Discountgeschäfte. Sie anerkennt damit indirekt, dass in herkömmlichen Läden ein Verkaufspreis von 60 Rappen aus Rentabilitätsgründen angezeigt erscheint. Dass sie nun in ihren Discountgeschäften mit einer wesentlich niedrigern Marge auskommen kann, ändert darum nichts, weil, wie ausgeführt, die Preisbindung zweiter Hand gerade darauf ausgerichtet ist, auch den herkömmlichen Geschäftsbetrieben eine bestimmte Marge zu sichern. Dass die Discountgeschäfte als neue Betriebsform des Detailhandels mit einer geringern Marge auskommen können, vermag nicht von vornherein die Preisbindung der zweiten Hand als nicht mehr schutzwürdig erscheinen zu lassen. Der Schluss, die Preisbindung beim Verkaufspreis von 60 Rappen sei wahrscheinlich angemessen, erweist sich deshalb, soweit sie in einem Verfahren nach Art. 10 KG getroffen wurde, nicht als willkürlich. Die genauere Abklärung der Angemessenheit muss dem Hauptprozess vorbehalten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